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21 vom 27. November 2025</w:t>
      </w:r>
    </w:p>
    <w:p>
      <w:r>
        <w:t>VS Kantonsgericht, 2025-11-27, FR</w:t>
      </w:r>
    </w:p>
    <w:p>
      <w:r>
        <w:rPr>
          <w:b/>
        </w:rPr>
        <w:t xml:space="preserve">Quelle: </w:t>
      </w:r>
      <w:r>
        <w:t>https://mcp.opencaselaw.ch/entscheid/vs_gerichte_S2 23 21</w:t>
      </w:r>
    </w:p>
    <w:p>
      <w:r>
        <w:t>FR: VS_GERICHTE S2 23 21 du 27 novembre 2025</w:t>
      </w:r>
    </w:p>
    <w:p>
      <w:r>
        <w:t>IT: VS_GERICHTE S2 23 21 del 27 novembre 2025</w:t>
      </w:r>
    </w:p>
    <w:p>
      <w:pPr>
        <w:pStyle w:val="Heading2"/>
      </w:pPr>
      <w:r>
        <w:t>Erwägungen</w:t>
      </w:r>
    </w:p>
    <w:p>
      <w:r>
        <w:rPr>
          <w:b/>
        </w:rPr>
        <w:t>E. 1.1</w:t>
      </w:r>
    </w:p>
    <w:p>
      <w:r>
        <w:t>Selon l'article 1 alinéa 1 LAA, les dispositions de la loi fédérale sur la partie générale du droit des assurances sociales (LPGA) s'appliquent à l'assurance-accidents, à moins que la LAA n'y déroge expressément.</w:t>
      </w:r>
    </w:p>
    <w:p>
      <w:r>
        <w:t>- 12 -</w:t>
      </w:r>
    </w:p>
    <w:p>
      <w:r>
        <w:rPr>
          <w:b/>
        </w:rPr>
        <w:t>E. 1.2</w:t>
      </w:r>
    </w:p>
    <w:p>
      <w:r>
        <w:t>Posté le 20 février 2023, le présent recours contre la décision sur opposition du 19 janvier précédent a été interjeté dans le délai légal de trente jours (art. 60 LPGA) devant l'instance compétente (art. 56, 57 et 58 LPGA ; art. 81a al. 1 loi cantonale sur la procédure et la juridiction administratives [LPJA]). Il répond par ailleurs aux autres conditions formelles de recevabilité (art. 61 let. b LPGA), de sorte que la Cour doit entrer en matière.</w:t>
      </w:r>
    </w:p>
    <w:p>
      <w:r>
        <w:rPr>
          <w:b/>
        </w:rPr>
        <w:t>E. 2.1</w:t>
      </w:r>
    </w:p>
    <w:p>
      <w:r>
        <w:t>Dans un grief d’ordre formel qu’il convient d’examiner en premier lieu (ATF 124 V 90 consid. 2), la recourante se plaint d’une violation de son droit d’être entendue. Elle fait en particulier valoir que le rapport d’expertise du 20 mai 2022 ne lui a été transmis qu’en même temps que la décision du 22 juillet 2022, et de n’avoir ainsi pas été en mesure de poser des questions complémentaires à l’expert. Au vu de ce manquement, le rapport devait être retiré du dossier.</w:t>
      </w:r>
    </w:p>
    <w:p>
      <w:r>
        <w:rPr>
          <w:b/>
        </w:rPr>
        <w:t>E. 2.2</w:t>
      </w:r>
    </w:p>
    <w:p>
      <w:r>
        <w:t>Selon la jurisprudence, le droit d’être entendu est garanti par les articles 29 alinéa 2 de la Constitution fédérale (Cst.) et 42 LPGA. Il compte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73 consid. 7.2.2.1, 132 V 368 consid. 3.1 et les références, 126 I 16 consid. 2a/aa, 124 V 181 consid. 1a). Le droit d’être entendu peut être exercé à tout moment par les parties, qui peuvent notamment exiger en tout temps la consultation du dossier et faire valoir leur point de vue en cours d’instruction déjà (DUPONT, in : Loi sur la partie générale des assurances sociales, Commentaire romand, Bâle 2025, N 10 ad art. 42 LPGA). Le droit d’être entendu n’entraîne toutefois pas, pour les parties, la garantie de pouvoir être entendues de manière illimitée dans le temps, ni de pouvoir obtenir l’administration de toutes les preuves qu’elles désirent. L’assureur social est en effet fondé à apprécier de manière anticipée les preuves d’ores et déjà réunies et, sous réserve d’une décision arbitraire, d’estimer que les nouveaux éléments requis ne sont pas de nature à influencer sa décision (DUPONT, op. cit., N 11 ad art. 42 LPGA). A teneur de l’article 44 alinéas 2 et 3 LPGA, si l’assureur doit recourir aux services d’un ou de plusieurs experts indépendants pour élucider les faits dans le cadre d’une expertise, il communique leur nom aux parties et soumet à ces dernières les questions qu’il entend poser aux experts en leur signalant qu’elles ont la possibilité de remettre par</w:t>
      </w:r>
    </w:p>
    <w:p>
      <w:r>
        <w:t>- 13 - écrit des questions supplémentaires dans un délai de 10 jours. Dans ces cas-là, les assurés ont également le droit de s’exprimer sur les conclusions des experts. Ce droit de participation est garanti même si l’expertise est mise en œuvre avant qu’une décision ne soit rendue. La seconde phrase de l’article 42 LPGA ne s’applique donc pas dans ce contexte (DUPONT, op. cit., N 17 ad art. 42 LPGA).</w:t>
      </w:r>
    </w:p>
    <w:p>
      <w:r>
        <w:rPr>
          <w:b/>
        </w:rPr>
        <w:t>E. 2.3</w:t>
      </w:r>
    </w:p>
    <w:p>
      <w:r>
        <w:t>Le droit d'être entendu est une garantie constitutionnelle de caractère formel, dont la violation doit en principe entraîner l'annulation de la décision attaquée, indépendamment des chances de succès du recours sur le fond (ATF 142 II 218 consid. 2.8.1, 142 III 360 consid. 4.1.4 et 137 I 195 consid. 2.2). La violation du droit d'être entendu – pour autant qu'elle ne soit pas d'une gravité particulière – peut toutefois être réparée lorsque la partie lésée a la possibilité de s'exprimer devant une autorité de recours jouissant d'un plein pouvoir d'examen (arrêt du Tribunal fédéral 9C_205/2013 du 1er octobre 2013 consid. 1.1).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142 II 218 consid. 2.8.1). La réparation d'un vice éventuel doit cependant demeurer l’exception (ATF 127 V 437 consid. 3d/aa, 126 I 72, 126 V 132 consid. 2b et les références).</w:t>
      </w:r>
    </w:p>
    <w:p>
      <w:r>
        <w:rPr>
          <w:b/>
        </w:rPr>
        <w:t>E. 2.4</w:t>
      </w:r>
    </w:p>
    <w:p>
      <w:r>
        <w:t>En l’espèce, la Cour constate que l’intimée a violé par deux fois le droit d’être entendu de la recourante. D’une part, le délai légal de 10 jours prévu par l’article 44 LPGA pour se prononcer sur l’identité de l’expert et pour formuler des questions complémentaires n’a pas été respecté (convocation et questions envoyées le 17 mars 2022 avec un délai de détermination au 21 mars 2022). D’autre part, il apparaît en effet que l’intimée ne lui a pas communiqué le rapport d’expertise du Prof. J _________ avant de rendre sa décision du 22 juillet 2022, étant relevé qu’il s’agit pourtant d’une pièce essentielle du dossier. Il convient cependant de noter que la recourante a pu se déterminer par courriel du 23 mars 2022, renonçant notamment à poser des questions complémentaires en l’état et demandant que la présence d’un interprète portugais-français au rendez-vous médical lui soit confirmée, ce qui a été fait le lendemain. En outre, le rapport d’expertise lui a finalement été envoyé avec la décision, de sorte qu’elle a pu en prendre connaissance avant l’échéance du délai d’opposition et a eu pleinement la possibilité d’exposer ses griefs à son encontre, respectivement de formuler des questions complémentaires – ce qu’elle n’a pas fait –, dans le cadre de l’opposition. Force est ainsi que constater que la</w:t>
      </w:r>
    </w:p>
    <w:p>
      <w:r>
        <w:t>- 14 - violation du droit d’être entendu a été guérie au stade de l’opposition déjà. Le grief correspondant invoqué céans se révèle en ce sens inopérant. Il y a par conséquent lieu d’examiner l’affaire au fond, ceci sans qu’il se justifie de retirer le rapport d’expertise du dossier.</w:t>
      </w:r>
    </w:p>
    <w:p>
      <w:r>
        <w:rPr>
          <w:b/>
        </w:rPr>
        <w:t>E. 3</w:t>
      </w:r>
    </w:p>
    <w:p>
      <w:r>
        <w:t>Le litige porte sur la question de savoir si c’est à juste titre que le groupe mutuel a nié à la recourante le droit à une rente d’invalidité et à une IPAI. Il s’agit de vérifier s’il pouvait valablement se fonder essentiellement sur le rapport d’expertise du Prof. J _________ pour justifier cette décision. Dans la mesure où l’intéressée ne prend aucune conclusion relative à la poursuite du versement des indemnités journalières et de la prise en charge des frais de traitement dans son mémoire de recours, la Cour considère que la stabilisation de son état de santé n’est pas contestée. Ce point ne doit dès lors pas être examiné in casu.</w:t>
      </w:r>
    </w:p>
    <w:p>
      <w:r>
        <w:rPr>
          <w:b/>
        </w:rPr>
        <w:t>E. 4</w:t>
      </w:r>
    </w:p>
    <w:p>
      <w:r>
        <w:t>Dans un premier grief matériel, la recourante s’en prend à la valeur probante du rapport d’expertise du 20 mai 2022 du Prof. J _________, estimant en substance que son contenu est valablement mis en doute par les rapports des Drs E _________ et F _________.</w:t>
      </w:r>
    </w:p>
    <w:p>
      <w:r>
        <w:rPr>
          <w:b/>
        </w:rPr>
        <w:t>E. 4.1</w:t>
      </w:r>
    </w:p>
    <w:p>
      <w:r>
        <w:t>Le principe de la libre appréciation des preuves prévaut en procédure administrative comme en procédure judicaire d’assurances sociales (art. 61 let. c LPGA). Il s’ensuit que les assureurs et les juges doivent apprécier les preuves librement, c’est-à-dire sans être liés par des règles de preuve formelles, ainsi que de manière aussi complète et consciencieuse que possible.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N’est donc en soi déterminante pour la valeur probante d’un moyen de preuve ni la</w:t>
      </w:r>
    </w:p>
    <w:p>
      <w:r>
        <w:t>- 15 - provenance d’une prise de position reçue ou demandée par le biais d’un mandat ni sa désignation en tant que rapport ou expertise (ATF 134 V 231 consid. 5.1 et 125 V 351 consid. 3a, cités p. ex. in : arrêt du Tribunal fédéral 8C_71/2024 du 30 août 2024 consid. 3.3). On rappellera que selon la jurisprudence, le tribunal peut accorder une pleine valeur probante à une expertise mise en œuvre dans le cadre d'une procédure administrative au sens de l'article 44 LPGA, aussi longtemps qu'aucun indice concret ne permet de douter de son bien-fondé (ATF 135 V 465 consid. 4.4 et 125 V 351 consid. 3b/bb). En revanche,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et 135 V 465 consid. 4.4). En effet, si la jurisprudence a reconnu la valeur probante des rapports médicaux des médecins-conseils, elle a souligné qu'ils n'avaient pas la même force probante qu'une expertise judiciaire ou une expertise administrative selon l'article 44 LPGA (ATF 135 V 465 consid.4.4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w:t>
      </w:r>
    </w:p>
    <w:p>
      <w:r>
        <w:t>- 16 -</w:t>
      </w:r>
    </w:p>
    <w:p>
      <w:r>
        <w:rPr>
          <w:b/>
        </w:rPr>
        <w:t>E. 4.2</w:t>
      </w:r>
    </w:p>
    <w:p>
      <w:r>
        <w:t>Dans son rapport d’expertise du 20 mai 2022, faisant suite à l’examen du 25 mars précédent, le Prof. J _________ a considéré qu’en tenant compte uniquement des séquelles de la fracture coccygienne, la recourante disposait d’une pleine capacité de travail sans diminution du rendement dans une activité adaptée respectant les limitations fonctionnelles suivantes : port de charges limité à 20 kg, pas de travail penché en avant et travail en position assise partiellement debout. Il a en outre indiqué que les suites de l’accident ne laissaient pas subsister d’atteinte importante et durable à l’intégrité physique ouvrant un droit à une IPAI. En ce qui concerne la valeur probante de ce rapport d’expertise, la Cour de céans considère qu’elle est entière. En effet, le Prof. J _________ a eu connaissance de l’intégralité du dossier médical de la recourante, a examiné personnellement cette dernière et a procédé à une anamnèse complète dans son rapport d’expertise. Ses conclusions sont claires et cohérentes. Les arguments soulevés par la recourante ne sont pas de nature à mettre en doute les conclusions du Prof. J _________. S’agissant de ceux découlant de la violation de son droit d’être entendu, il est renvoyé au considérant 2.4 ci-dessus. Pour le reste, la recourante se réfère essentiellement aux rapports médicaux divergents qui n’auraient pas été suffisamment pris en considération par l’intimée. En particulier, elle se prévaut du rapport du 6 novembre 2020 du Dr E _________ et de celui du 16 mars 2021 du Dr F _________, tous deux constatant la persistance des douleurs sacrococcygiennes malgré l’ablation du coccyx, les infiltrations et les divers traitements antalgiques et attribuant ces lésions à l’accident du 26 septembre 2018. Force est toutefois de constater que ces rapports sont très brefs et non motivés. Ils ont au surplus été rédigés avant que des examens complémentaires mettent en lumière les discopathies dégénératives ainsi que l’arthrose articulaire de l’assurée. Ces diagnostics n’ont dès lors pas pu être pris en considération dans la réflexion des Drs E _________ et F _________ (le premier ayant uniquement mentionné la discopathie dégénérative L4-L5 à titre de circonstance sans rapport avec l’événement survenu en septembre 2018 jouant un rôle dans l’évolution du cas dans son rapport du 28 décembre 2021). La Cour relève en outre que l’avis du Prof. J _________ n’est pas isolé. Il est en effet corroboré par celui de la Dresse H _________, qui a diagnostiqué un syndrome lombo- vertébral sans rapport avec l’accident le 5 octobre 2021, et celui du Dr G _________, qui, sur la base de l’IRM lombaire et sacrococcygienne réalisée le 30 mars 2021, considérait que la discopathie dégénérative et surtout l’arthrose articulaire postérieure hypertrophique et inflammatoire du côté droit en L4-L5 permettaient d’expliquer une</w:t>
      </w:r>
    </w:p>
    <w:p>
      <w:r>
        <w:t>- 17 - partie de la symptomatologie clinique de l’assurée. Le 29 juin 2020 déjà, le Dr D _________, indiquait qu’il était difficile d’expliquer les douleurs résiduelles de la recourante, ce qui laissait déjà entendre qu’elles n’étaient pas en lien avec les atteintes pour lesquelles elle était suivie, à savoir celles survenues lors de l’accident. Le Prof. J _________ est par ailleurs le seul médecin qui s’est expressément prononcé sur la question de l’IPAI, de sorte que son rapport ne saurait être remis en question sur ce point non plus. Eu égard à ce qui précède, le rapport d’expertise du 20 mai 2022 du Prof. J _________ doit se voir reconnaître une pleine valeur probante.</w:t>
      </w:r>
    </w:p>
    <w:p>
      <w:r>
        <w:rPr>
          <w:b/>
        </w:rPr>
        <w:t>E. 5</w:t>
      </w:r>
    </w:p>
    <w:p>
      <w:r>
        <w:t>Il convient ici d’examiner si le groupe mutuel était fondé à nier l’existence d’un lien de causalité entre les douleurs et atteintes de la recourante persistant au-delà du 20 novembre 2020, respectivement du 31 mai 2022, et l’accident du 26 septembre 2018.</w:t>
      </w:r>
    </w:p>
    <w:p>
      <w:r>
        <w:rPr>
          <w:b/>
        </w:rPr>
        <w:t>E. 5.1</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 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w:t>
      </w:r>
    </w:p>
    <w:p>
      <w:r>
        <w:t>- 18 - peut pas être qualifiée de probable dans le cas particulier, le droit à des prestations fondées sur l'accident assuré doit être nié (ATF 142 V 435 consid. 1, 129 V 177 consid. 3.1, 129 V 402 consid. 4.3.1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presque avec la causalité naturelle, de sorte qu'elle ne joue pratiquement pas de rôle (ATF 140 V 356 consid. 3.2 et la référence ; arrêt du Tribunal fédéral 8C_404/2020 du 11 juin 2021 consid. 6.2.1).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(ATF 139 V 176 consid. 5.3,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 post hoc ergo propter hoc » ; ATF 119 V 335 consid. 2b/bb ; arrêt du Tribunal fédéral 8C_335/2018 du 7 mai 2019 consid. 5). Il</w:t>
      </w:r>
    </w:p>
    <w:p>
      <w:r>
        <w:t>- 19 -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arrêt du Tribunal fédéral 8C_169/2019 du 10 mars 2020 consid. 5.3).</w:t>
      </w:r>
    </w:p>
    <w:p>
      <w:r>
        <w:rPr>
          <w:b/>
        </w:rPr>
        <w:t>E. 5.2</w:t>
      </w:r>
    </w:p>
    <w:p>
      <w:r>
        <w:t>En l’espèce, la recourante considère que c’est à tort que l’intimée a retenu l’absence de lien de causalité entre les atteintes qu’elle continuait à subir au-delà du 20 novembre 2020, respectivement du 31 mai 2022, et l’accident dont elle avait été victime le 26 septembre 2018. Comme mentionné plus haut (cf. consid. 4.2), les médecins de la recourante, en particulier les Drs E _________ et F _________, ne se sont pas déterminés de manière circonstanciée sur la question du lien de causalité. A la lecture de leurs rapports, il n’est notamment pas possible de savoir sur quels éléments médicaux objectifs ils se sont fondés pour reconnaître l’existence d’un lien de causalité. Dès lors qu’ils n’ont pas discuté l’état disco-dégénératif et l’arthrose facettaire lombaire diagnostiqués, la Cour rejoint l’intimée lorsqu’elle fait valoir que les médecins traitants de la recourante se limitent à invoquer une relation chronologique entre l’accident et les atteintes décrites par leur patiente, sans chercher les motifs à l’origine des plaintes. Au contraire, les conclusions motivées du Prof. J _________, qui explique de façon convaincante que les atteintes dégénératives et l’arthrose d’origine maladive sont la cause des douleurs persistantes incapacitantes, ne prêtent pas le flanc à la critique. Le simple fait que les symptômes douloureux ne se sont manifestés qu'après la survenance de l’accident, ne suffit pas à établir un rapport de causalité naturelle (raisonnement « post hoc, ergo propter hoc »). Dans la mesure où seules les atteintes à la santé ayant un lien de causalité naturelle et adéquate avec l’événement accidentel ouvrent un droit à des prestations de l’assurance- accidents, c’est à juste titre que l’intimée n’a pas pris en considération les conséquences des discopathies dégénératives et de l’arthrose articulaire maladive pour arrêter la capacité de travail de la recourante et analyser son droit aux prestations.</w:t>
      </w:r>
    </w:p>
    <w:p>
      <w:r>
        <w:rPr>
          <w:b/>
        </w:rPr>
        <w:t>E. 6</w:t>
      </w:r>
    </w:p>
    <w:p>
      <w:r>
        <w:t>Concernant la rente d’invalidité, la recourante fait valoir plusieurs griefs. Elle prétend notamment que l’intimée s’est méprisée s’agissant des questions de la capacité de travail, du calcul des revenus avec et sans invalidité, ainsi que du taux d’abattement consenti.</w:t>
      </w:r>
    </w:p>
    <w:p>
      <w:r>
        <w:t>- 20 -</w:t>
      </w:r>
    </w:p>
    <w:p>
      <w:r>
        <w:rPr>
          <w:b/>
        </w:rPr>
        <w:t>E. 6.1</w:t>
      </w:r>
    </w:p>
    <w:p>
      <w:r>
        <w:t>Selon l'article 18 alinéa 1 LAA, l'assuré a droit à une rente d'invalidité s'il est invalide à 10 % au moins par suite d'un accident, pour autant que celui-ci soit survenu avant l’âge ordinaire de la retraite. Est réputée invalidité l'incapacité de gain totale ou partielle qui est présumée permanente ou de longue durée (art. 8 al. 1 LPGA). L’article 7 LPGA dispose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139 V 28 consid. 3.3.2, 135 V 297 consid. 5.1, 134 V 322 consid. 4.1 et 129 V 222 consid. 4.3.1 ; arrêt du Tribunal fédéral 8C_679/2020 du 1er juillet 2021 consid. 5.1).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w:t>
      </w:r>
    </w:p>
    <w:p>
      <w:r>
        <w:t>- 21 -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8C_171/2021 du 11 décembre 2021 consid.3.3 et 4.3 et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no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148 V 174 consid. 6.3, 129 V 472 consid. 4.2.3 et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w:t>
      </w:r>
    </w:p>
    <w:p>
      <w:r>
        <w:t>- 22 - propre appréciation à celle de l'administration ; il doit s'appuyer sur des circonstances de nature à faire apparaître sa propre appréciation comme la mieux appropriée (ATF 148 V 419 consid. 5.5 et 137 V 71 consid. 5.2). L'âge avancé d'un assuré comme facteur prépondérant à son empêchement de maintenir sa capacité de gain n'est pas pris en considération de la même manière en assurance-invalidité qu'en assurance-accidents, dans laquelle l'article 28 alinéa 4 OLAA commande de faire abstraction du facteur de l'âge pour les deux termes de la comparaison des revenus (ATF 134 V 392 consid. 6.2 et 122 V 418 cons. 3b ; arrêt du Tribunal fédéral 8C_132/2017 du 5 septembre 2017 consid. 4.2 et les références citées). Selon cette disposition,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l'âge moyen se situant entre 40 et 45 ans et l'âge avancé étant d'environ 60 ans. La deuxième hypothèse est également donnée lorsque l'âge avancé, facteur sans incidence sur l'exigibilité, est malgré tout un obstacle à la mise en valeur de la capacité résiduelle de gain, notamment parce qu'aucun employeur n'est disposé à engager un employé pour un laps de temps très court avant l'ouverture de son droit à une rente AVS (arrêt du Tribunal fédéral 8C_307/2017 du 26 septembre 2017 consid. 4.2.2).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Il s'agit d'empêcher l'octroi de rentes d'invalidité qui comporteraient, en fait, une composante de prestation de vieillesse (ATF 148 V 419 consid. 7.2 et les références). Par rapport à la question de l'abattement à cause de l'âge, le Tribunal fédéral a retenu dans l’ATF 148 V 419 que l'article 28 alinéa 4 OLAA commande, pour atteindre son objectif, qu'on calcule le taux d'invalidité sur la base des revenus (sans et avec invalidité) hypothétiques que pourrait obtenir un assuré d'âge moyen, et que – contrairement à l'article 16 LPGA – l’on fasse ainsi abstraction de l'incapacité de travail due à l'âge avancé de l'assuré (consid. 7.2 et 8.5). Or, dès lors que l'on doit s'appuyer sur les valeurs salariales d'un assuré d'âge moyen, une influence pénalisante de l'âge avancé sur le salaire ne peut par définition pas entrer en ligne de compte. Il s'ensuit qu'un abattement</w:t>
      </w:r>
    </w:p>
    <w:p>
      <w:r>
        <w:t>- 23 - à cause de l'âge avancé d'un assuré ne peut pas être envisagé lorsqu'on est en présence d'un cas d'application de l'article 28 alinéa 4 OLAA (ATF 148 V 419 consid. 8.5 ; arrêt du Tribunal fédéral 8C_507/2022 du 28 novembre 2022 consid. 6.5). Il sied de préciser qu'en dehors du champ d'application de cette disposition, le point de savoir si, dans le domaine de l'assurance-accidents obligatoire, l'âge avancé peut constituer un critère d'abattement ou si l'influence de l'âge sur la capacité de gain doit être prise en compte uniquement dans le cadre de la réglementation particulière de l'article 28 alinéa 4 OLAA, n'a pas encore été tranché par le Tribunal fédéral (arrêt du Tribunal fédéral 8C_507/2022 du 28 novembre 2022 consid. 6.5 et les références).</w:t>
      </w:r>
    </w:p>
    <w:p>
      <w:r>
        <w:rPr>
          <w:b/>
        </w:rPr>
        <w:t>E. 6.2.1</w:t>
      </w:r>
    </w:p>
    <w:p>
      <w:r>
        <w:t>En l’occurrence, les médecins traitants de la recourante ne se sont pas prononcés sur la question de la capacité de travail dans une activité adaptée – l’incapacité dans l’activité usuelle d’aide-viticultrice étant admise – sur la seule base des troubles persistants en lien avec l’accident de septembre 2018, soit les douleurs sacrococcygiennes (l’épaule droite allant beaucoup mieux aux dires de l’intéressée). Or, sur ce point non plus, le rapport d’expertise du Prof. J _________, duquel il ressort que les lésions secondaires au traumatisme, en particulier les douleurs coccygiennes, n’étaient plus significatives et n’impactaient plus la capacité de travail de la recourante au moins depuis la date de l’examen, ne saurait être mis en doute. Partant, une pleine capacité de travail sans baisse de rendement dans une activité adaptée (port de charges limité à 20 kg, pas de travail penché en avant et travail en position assise partiellement debout) doit être admise au plus tard depuis le 25 mars 2022.</w:t>
      </w:r>
    </w:p>
    <w:p>
      <w:r>
        <w:rPr>
          <w:b/>
        </w:rPr>
        <w:t>E. 6.2.2</w:t>
      </w:r>
    </w:p>
    <w:p>
      <w:r>
        <w:t>S’agissant du revenu avec invalidité, la recourante ne conteste pas l’utilisation des données statistiques de l’ESS. Elle fait cependant valoir que son revenu aurait dû être déterminé en se référant aux données relatives aux « autres services personnels » (poste 96). Ce faisant, elle ne met en évidence aucun élément pertinent qui justifierait de s'écarter du salaire de référence auquel peuvent prétendre les femmes effectuant des tâches physiques ou manuelles simples, tous secteurs confondus, de la table TA1_tirage_skill_level de l'ESS. Cette valeur statistique s'applique en effet à tous les assurés qui ne peuvent plus accomplir leur ancienne activité parce qu'elle est trop astreignante pour leur état de santé, mais qui conservent néanmoins une capacité de travail importante dans des travaux légers (arrêt du Tribunal fédéral 9C_303/2022 du 31 mai 2023 consid. 6.3 et les références). Le tableau TA1_tirage_skill_level de l’ESS 2020 ayant été publié le 23 août 2022 par l’Office fédéral de la statistique, c’est toutefois</w:t>
      </w:r>
    </w:p>
    <w:p>
      <w:r>
        <w:t>- 24 - à tort que l’intimée s’est référée à la version de 2018 pour rendre la décision sur opposition attaquée du 19 janvier 2023. Par ailleurs, le marché équilibré du travail pris en considération dans le domaine de l'assurance-invalidité (à ce sujet, voir arrêt du Tribunal fédéral 9C_659/2014 du 13 mars 2015 consid. 5.3 et les références) offre un éventail suffisamment large d'activités légères, dont on doit admettre qu'un nombre significatif d'entre elles sont accessibles à la recourante sans aucune formation préalable particulière et compatibles avec les limitations fonctionnelles décrites par l'expert. La recourante considère en outre que l’abattement consenti par l’intimée, soit 10 %, est insuffisant au vu des douleurs continues l’empêchant de se déplacer librement et de rester longtemps en position assise ou debout, de son âge (56 ans au moment du recours), de l’absence de formation certifiante et d’expérience professionnelle en Suisse, du long arrêt de travail et de l’absence de maîtrise de la langue française. Elle préconise plutôt l’application de l’abattement maximum de 25 %. Selon la jurisprudence mentionnée ci-dessus (cf. consid. 6.1), il faut prendre en considération l'application de l'article 28 alinéa 4 OLAA si l'assuré a environ 60 ans. Cette disposition ne s'applique que lorsqu'il y a des indices concrets que l'âge de l'assuré revêt une importance prépondérante par rapport aux autres facteurs à l'origine de l'incapacité de gain (arrêt du Tribunal fédéral 8C_507/2022 du 28 novembre 2022 consid. 5.1.3 et les références). Elle ne s’applique dès lors pas au cas d’espèce pour plusieurs raisons. Tout d’abord, l’âge avancé se détermine non pas au moment du recours, comme retenu par l’intéressée, mais lors de la fixation de l’exigibilité médicale de la capacité de travail, soit le 20 mai 2022 in casu (ATF 138 V 457 consid. 3.3). L’assurée étant âgée de 55 ans à cette date – et même dans l’hypothèse de 56 ans – , elle était loin de la retraite. Au surplus, les activités adaptées envisagées ne requièrent ni formation ni expérience professionnelle spécifique si bien que les effets pénalisants au niveau salarial induits par l'âge ne peuvent quoi qu'il en soit pas être considérés comme suffisamment établis (arrêt du Tribunal fédéral 8C_103/2018 du 25 juillet 2018 consid. 5.2). En outre, le long éloignement du marché du travail n’est pas un facteur d’abattement au sens de la jurisprudence (arrêt du Tribunal fédéral 9C_273/2019 du 18 juillet 2019 consid. 6.3 et les références). Il en va notamment de même des difficultés linguistiques et de l’absence de formation (arrêt du Tribunal fédéral 9C_423/2019 du 23 janvier 2020 consid. 6.2).</w:t>
      </w:r>
    </w:p>
    <w:p>
      <w:r>
        <w:t>- 25 - Au vu de ce qui précède, force est de constater qu’il n’existe pas de motif pertinent permettant à la Cour de céans de substituer sa propre appréciation à celle de l'administration. Le taux d’abattement de 10 % doit ainsi être confirmé. En résumé, le groupe mutuel aurait dû fixer le revenu d’invalide sur la base de la valeur centrale (ligne « Total »), femme, niveau 1 de l’ESS (tableau TA1_tirage_skill_level) disponible au moment de la décision sur opposition, soit la version 2020 publiée le 23 août 2022, et l’adapter à l’horaire hebdomadaire moyen usuel du secteur privé, soit 41.7 heures (tableau Durée normale du travail dans les entreprises selon la division économique [NOGA2008], état au 22 mai 2025). Elle aurait ainsi obtenu un salaire mensuel de 4457 fr. 73 (4276 fr. / 40h x 41.7h), respectivement un salaire annuel de 53'492 fr. 76 (4457 fr. 73 x 12). Après application de l’abattement de 10 % consenti, le revenu d’invalide est fixé à 48'143 fr. 48.</w:t>
      </w:r>
    </w:p>
    <w:p>
      <w:r>
        <w:rPr>
          <w:b/>
        </w:rPr>
        <w:t>E. 6.2.3</w:t>
      </w:r>
    </w:p>
    <w:p>
      <w:r>
        <w:t>Au sens de la recourante, l’intimée ne pouvait pas se fonder sur le salaire qu’elle percevait en tant qu’aide-viticultrice pour arrêter son revenu sans invalidité à 40'778 fr. 85, car elle avait d’ores et déjà signé un contrat dans un commerce, avec une prise d’emploi prévue moins d’un mois après l’accident de septembre 2018, pour lequel elle aurait perçu un salaire plus élevé, soit 3500 fr. par mois. Alléguant que ledit contrat de travail était soumis à la CCT du secteur de la boulangerie-pâtisserie-confiserie suisse, l’intéressée a fait valoir un droit à un 13ème salaire, portant le revenu annuel à 46'368 fr. 60 (45'500 fr. renchéri de 1 % en 2019 et de 0.9 % en 2020). Le revenu avec invalidité reste plus élevé que le revenu sans invalidité, peu importe qu’il soit fixé selon le salaire effectivement perçu dans l’activité d’aide-viticultrice ou celui qu’elle aurait pu percevoir en tant qu’employée polyvalente d’un commerce. Les questions de la méthode de calcul adéquate et de l’application de la CCT du secteur de la boulangerie-pâtisserie-confiserie suisse au cas d’espèce peuvent par conséquent rester ouvertes. A toutes fins utiles, il est intéressant de noter que, dans son arrêt 8C_688/2023 du 8 août 2024, le Tribunal fédéral a considéré qu’il fallait tenir compte du nouveau salaire, quand bien même l’assuré au bénéfice d’un nouveau contrat de travail n’avait pas pu commencer sa nouvelle activité à cause d’un accident (consid. 6.4).</w:t>
      </w:r>
    </w:p>
    <w:p>
      <w:r>
        <w:rPr>
          <w:b/>
        </w:rPr>
        <w:t>E. 6.2.4</w:t>
      </w:r>
    </w:p>
    <w:p>
      <w:r>
        <w:t>A la lumière des considérants précédents, c’est à bon droit que l’intimée a refusé d’octroyer une rente d’invalidité à la recourante, le taux d’invalidité étant en tout état de cause inférieur à 10 %.</w:t>
      </w:r>
    </w:p>
    <w:p>
      <w:r>
        <w:rPr>
          <w:b/>
        </w:rPr>
        <w:t>E. 7</w:t>
      </w:r>
    </w:p>
    <w:p>
      <w:r>
        <w:t>Il reste, à ce stade, à se pencher sur le dernier grief fait au groupe mutuel, à savoir le refus du droit à une IPAI.</w:t>
      </w:r>
    </w:p>
    <w:p>
      <w:r>
        <w:t>- 26 -</w:t>
      </w:r>
    </w:p>
    <w:p>
      <w:r>
        <w:rPr>
          <w:b/>
        </w:rPr>
        <w:t>E. 7.1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L'indemnité pour atteinte à l'intégrité a pour but de compenser le dommage subi par un assuré du fait d'une atteinte grave à son intégrité corporelle ou mentale due à un accident. La gravité de l'atteinte, dont dépend le montant de l'indemnité, se détermine uniquement d'après les constatations médicales (SVR 2009 UV no 27 p. 97 ; arrêt du Tribunal fédéral 8C_459/2008 consid. 2.3 ;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L'annexe 3 de l'OLAA comporte un barème – reconnu conforme à la loi et non exhaustif (ATF 124 V 29 consid. 1b, 124 V 209 consid. 4a/bb et 113 V 218 consid. 2a) – des lésions fréquentes et caractéristiques, évaluées en pourcent.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et 116 V 156 consid. 3a).</w:t>
      </w:r>
    </w:p>
    <w:p>
      <w:r>
        <w:rPr>
          <w:b/>
        </w:rPr>
        <w:t>E. 7.2</w:t>
      </w:r>
    </w:p>
    <w:p>
      <w:r>
        <w:t>On relèvera sur ce point qu’il incombe avant tout aux médecins de constater objectivement quelles limitations subit l’assuré et d’estimer l’atteinte en résultant. En l’occurrence, dans son rapport d’expertise du 20 mai 2022, le Prof. J _________, qui avait reçu et examiné l’assurée le 25 mars précédent, a indiqué que les suites de l’événement accidentel du 26 septembre 2018 ne laissaient pas subsister d’atteinte importante et durable à l’intégrité physique ouvrant un droit à une IPAI. De son côté, la</w:t>
      </w:r>
    </w:p>
    <w:p>
      <w:r>
        <w:t>- 27 - recourante ne fait état d’aucun élément clinique, radiologique ou diagnostique concret et objectif susceptible de mettre en cause les conclusions médicales suivies par l’intimée. Elle se borne à confronter son interprétation personnelle de la situation à celle de l’expert. A défaut de facteurs médicaux objectifs contraires ou incompatibles, la Cour de céans ne peut écarter l’appréciation du Prof. J _________ qui, rappelons-le, bénéficie d’une pleine valeur probante. Partant, le refus de l’IPAI doit être confirmé.</w:t>
      </w:r>
    </w:p>
    <w:p>
      <w:r>
        <w:rPr>
          <w:b/>
        </w:rPr>
        <w:t>E. 8.1</w:t>
      </w:r>
    </w:p>
    <w:p>
      <w:r>
        <w:t>Dès lors que l’expertise du 20 mai 2022, portant notamment sur le lien de causalité entre les atteintes persistantes et l’accident du 26 septembre 2018, sur la capacité de travail de la recourante dans une activité adaptée et sur le droit à une IPAI, revêt une pleine valeur probante, il n’y a pas lieu de mettre en œuvre une nouvelle expertise médicale, telle que sollicitée par la recourante.</w:t>
      </w:r>
    </w:p>
    <w:p>
      <w:r>
        <w:rPr>
          <w:b/>
        </w:rPr>
        <w:t>E. 8.2</w:t>
      </w:r>
    </w:p>
    <w:p>
      <w:r>
        <w:t>Dans ces circonstances, le recours du 20 février 2023, en tous points mal fondé, est rejeté et la décision sur opposition du 19 janvier 2023 confirmée.</w:t>
      </w:r>
    </w:p>
    <w:p>
      <w:r>
        <w:rPr>
          <w:b/>
        </w:rPr>
        <w:t>E. 9.1</w:t>
      </w:r>
    </w:p>
    <w:p>
      <w:r>
        <w:t>Il n’est pas perçu de frais (art. 61 let. fbis LPGA), la loi spéciale, en l’occurrence la LAA ne contenant pas de disposition spéciale prévoyant la perception de frais judiciaires.</w:t>
      </w:r>
    </w:p>
    <w:p>
      <w:r>
        <w:rPr>
          <w:b/>
        </w:rPr>
        <w:t>E. 9.2</w:t>
      </w:r>
    </w:p>
    <w:p>
      <w:r>
        <w:t>Par décision présidentielle du 23 mai 2023 (cause S3 23 12), la recourante a été mise au bénéfice de l’assistance judiciaire, Me Tania Ferreira lui étant désignée comme avocate d’office dès le 20 février 2023. Le tarif des dépens dans les causes civiles, pénales et administratives portées devant une autorité judiciaire ou administrative est régi par la loi cantonale fixant le tarif des frais et dépens devant les autorités judiciaires ou administratives (LTar ; art. 1 al. 1). Les dépens comprennent l'indemnité à la partie pouvant y prétendre et ses frais de conseil juridique. Les frais du conseil juridique comprennent les honoraires, calculés selon les articles 27 et suivants LTar, auxquels s'ajoutent les débours (art. 4 al. 3 LTar). Aux termes de l'article 27 alinéa 1 LTar, les honoraires sont fixés entre un minimum et un maximum prévus par la loi, d'après la nature et l'importance de la cause, ses difficultés, l'ampleur du travail, le temps utilement consacré par le conseil juridique et la situation financière de la partie. Selon l’article 40 alinéa 1 LTar, pour la procédure devant la cour des assurances sociales du Tribunal cantonal, les honoraires sont fixés entre 550 et 11'000 francs. La LTar consacre le principe de l'évaluation globale des dépens (art. 4 al.</w:t>
      </w:r>
    </w:p>
    <w:p>
      <w:r>
        <w:t>- 28 - 1 et 27 al. 4 LTar), laissant dans ce cadre à l’autorité ou au juge un large pouvoir d'appréciation qui doit néanmoins être exercé dans les limites fixées par la loi. Ainsi,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(ATF 139 V 496 consid. 5.1 et 13 V 111 Ia 1 consid. 2a, cités dans l’arrêt du Tribunal fédéral 1C_170/2014 du 10 décembre 2014 consid. 3.1). Selon l'article 30 alinéa 1 LTar, le conseil juridique habilité à se faire indemniser en vertu des dispositions en matière d'assistance judiciaire perçoit, en sus du remboursement de ses débours justifiés, des honoraires correspondant au 70% des honoraires prévus aux articles 31 à 40 LTar, mais au moins à une rémunération équitable telle que définie par la jurisprudence du Tribunal fédéral. En l’occurrence, en tenant compte des critères précités et notamment de l’activité déployée par le mandataire du recourant, activité qui a principalement consisté en la rédaction d’un mémoire de recours de 15 pages, reprenant pour l’essentiel les griefs développés dans l’opposition du 14 septembre 2022, d’une réplique de 2 pages, et d’un bref courrier, dans un dossier ne présentant pas de difficulté particulière, la Cour fixe globalement les honoraires de l’avocat à 1500 fr. (TVA comprise), auxquels s’ajoutent des débours. Dès lors, eu égard au tarif de l’assistance judiciaire, une indemnité de 1150 fr. (70 % de 1500 fr. + 100 fr. de débours TVA comprise) sera versée à Me Tania Ferreira par l’Etat du Valais (art. 8 al. 1 let. a loi cantonale sur l’assistance judiciaire [LAJ]). Ce montant sera supporté provisoirement par la caisse de l’Etat du Valais, mais la recourante est toutefois rendue attentive au fait qu'elle devra rembourser cette caisse si elle devient ultérieurement en mesure de le faire (art. 10 LAJ).</w:t>
      </w:r>
    </w:p>
    <w:p>
      <w:r>
        <w:t>- 29 -</w:t>
      </w:r>
    </w:p>
    <w:p>
      <w:r>
        <w:t>Prononce</w:t>
      </w:r>
    </w:p>
    <w:p>
      <w:r>
        <w:t>1. Le recours est rejeté. 2. Il n'est pas perçu de frais. 3. Un montant de 1150 francs sera versé à Me Tania Ferreira par l’Etat du Valais dans le cadre de l’assistance judiciaire. Sion, le 27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